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header7.xml" ContentType="application/vnd.openxmlformats-officedocument.wordprocessingml.header+xml"/>
  <Default Extension="odttf" ContentType="application/vnd.openxmlformats-officedocument.obfuscatedFont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478"/>
      </w:tblGrid>
      <w:tr>
        <w:trPr/>
        <w:tc>
          <w:tcPr>
            <w:tcW w:w="4500" w:type="dxa"/>
            <w:noWrap/>
          </w:tcPr>
          <w:p>
            <w:pPr>
              <w:spacing w:after="230"/>
            </w:pPr>
            <w:r>
              <w:pict>
                <v:shape type="#_x0000_t75" stroked="f" style="width:210pt; height:56.25pt; margin-left:0pt; margin-top:0pt; mso-position-horizontal:left; mso-position-vertical:top; mso-position-horizontal-relative:char; mso-position-vertical-relative:line;">
                  <v:imagedata r:id="rId7" o:title=""/>
                </v:shape>
              </w:pict>
            </w:r>
          </w:p>
        </w:tc>
        <w:tc>
          <w:tcPr>
            <w:tcW w:w="5478" w:type="dxa"/>
            <w:noWrap/>
          </w:tcPr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Агентство "ДемоТоп"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г. Москва, ул. Новолесная, д. 8, офис 42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agency@demotop.com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+7 495 000-00-00</w:t>
            </w:r>
          </w:p>
        </w:tc>
      </w:tr>
    </w:tbl>
    <w:p/>
    <w:p/>
    <w:p/>
    <w:p/>
    <w:p/>
    <w:p>
      <w:pPr>
        <w:spacing w:before="0" w:after="0" w:line="216" w:lineRule="auto"/>
      </w:pPr>
      <w:r>
        <w:rPr>
          <w:rFonts w:ascii="Tahoma" w:hAnsi="Tahoma" w:eastAsia="Tahoma" w:cs="Tahoma"/>
          <w:color w:val="424242"/>
          <w:sz w:val="66"/>
          <w:szCs w:val="66"/>
        </w:rPr>
        <w:t xml:space="preserve">Отчет по таргетированной рекламе</w:t>
      </w:r>
      <w:r>
        <w:br/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  <w:r>
        <w:rPr>
          <w:rFonts w:ascii="Tahoma" w:hAnsi="Tahoma" w:eastAsia="Tahoma" w:cs="Tahoma"/>
          <w:color w:val="4CB0A0"/>
          <w:sz w:val="66"/>
          <w:szCs w:val="66"/>
        </w:rPr>
        <w:t xml:space="preserve">Мебель Маркет</w:t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</w:p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  <w:gridCol w:w="8958"/>
      </w:tblGrid>
      <w:tr>
        <w:trPr/>
        <w:tc>
          <w:tcPr>
            <w:tcW w:w="1020" w:type="dxa"/>
            <w:noWrap/>
          </w:tcPr>
          <w:p>
            <w:pPr>
              <w:spacing w:after="0"/>
            </w:pPr>
            <w:r>
              <w:pict>
                <v:shape type="#_x0000_t75" stroked="f" style="width:38.25pt; height:37.5pt; margin-left:0pt; margin-top:0pt; mso-position-horizontal:left; mso-position-vertical:top; mso-position-horizontal-relative:char; mso-position-vertical-relative:line;">
                  <v:imagedata r:id="rId8" o:title=""/>
                </v:shape>
              </w:pict>
            </w:r>
          </w:p>
        </w:tc>
        <w:tc>
          <w:tcPr>
            <w:tcW w:w="8958" w:type="dxa"/>
            <w:vAlign w:val="center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Отчетный период с 1 сентября 2026 по 30 сентября 2026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в сравнении с периодом с 1 августа 2026 по 31 августа 2026</w:t>
            </w:r>
          </w:p>
        </w:tc>
      </w:tr>
    </w:tbl>
    <w:p/>
    <w:p/>
    <w:p/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878"/>
      </w:tblGrid>
      <w:tr>
        <w:trPr/>
        <w:tc>
          <w:tcPr>
            <w:tcW w:w="2100" w:type="dxa"/>
            <w:noWrap/>
          </w:tcPr>
          <w:p>
            <w:pPr/>
            <w:r>
              <w:rPr>
                <w:rFonts w:ascii="Tahoma" w:hAnsi="Tahoma" w:eastAsia="Tahoma" w:cs="Tahoma"/>
                <w:sz w:val="24"/>
                <w:szCs w:val="24"/>
                <w:b w:val="1"/>
                <w:bCs w:val="1"/>
              </w:rPr>
              <w:t xml:space="preserve">Ваш менеджер: </w:t>
            </w:r>
          </w:p>
        </w:tc>
        <w:tc>
          <w:tcPr>
            <w:tcW w:w="7878" w:type="dxa"/>
            <w:noWrap/>
          </w:tcPr>
          <w:p>
            <w:pPr>
              <w:spacing w:after="0"/>
            </w:pPr>
            <w:r>
              <w:rPr>
                <w:rFonts w:ascii="Tahoma" w:hAnsi="Tahoma" w:eastAsia="Tahoma" w:cs="Tahoma"/>
                <w:sz w:val="24"/>
                <w:szCs w:val="24"/>
              </w:rPr>
              <w:t xml:space="preserve">Анна Смирнова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999999"/>
                <w:sz w:val="18"/>
                <w:szCs w:val="18"/>
              </w:rPr>
              <w:t xml:space="preserve">+7 495 000-00-00</w:t>
            </w:r>
          </w:p>
        </w:tc>
      </w:tr>
    </w:tbl>
    <w:p>
      <w:pPr>
        <w:sectPr>
          <w:pgSz w:w="11906" w:h="16838"/>
          <w:pgMar w:top="2550" w:right="964" w:bottom="1134" w:left="964" w:header="250" w:footer="720" w:gutter="0"/>
          <w:cols w:space="720"/>
        </w:sectPr>
      </w:pPr>
    </w:p>
    <w:p>
      <w:pPr>
        <w:spacing w:before="180" w:after="350"/>
      </w:pPr>
      <w:r>
        <w:rPr>
          <w:rFonts w:ascii="Tahoma" w:hAnsi="Tahoma" w:eastAsia="Tahoma" w:cs="Tahoma"/>
          <w:sz w:val="60"/>
          <w:szCs w:val="60"/>
        </w:rPr>
        <w:t xml:space="preserve">Содержание отчета</w:t>
      </w:r>
    </w:p>
    <w:p>
      <w:pPr>
        <w:tabs>
          <w:tab w:val="right" w:leader="dot" w:pos="9921.259842519685"/>
        </w:tabs>
      </w:pPr>
      <w:r>
        <w:fldChar w:fldCharType="begin"/>
      </w:r>
      <w:r>
        <w:instrText xml:space="preserve">TOC \o 2-9 \h \z \u</w:instrText>
      </w:r>
      <w:r>
        <w:fldChar w:fldCharType="separate"/>
      </w:r>
      <w:hyperlink w:anchor="_Toc0" w:history="1">
        <w:r>
          <w:rPr>
            <w:rFonts w:ascii="Tahoma" w:hAnsi="Tahoma" w:eastAsia="Tahoma" w:cs="Tahoma"/>
            <w:sz w:val="20"/>
            <w:szCs w:val="20"/>
          </w:rPr>
          <w:t>Итоги месяца</w:t>
        </w:r>
        <w:r>
          <w:tab/>
        </w:r>
        <w:r>
          <w:fldChar w:fldCharType="begin"/>
        </w:r>
        <w:r>
          <w:instrText xml:space="preserve">PAGEREF _Toc0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" w:history="1">
        <w:r>
          <w:rPr>
            <w:rFonts w:ascii="Tahoma" w:hAnsi="Tahoma" w:eastAsia="Tahoma" w:cs="Tahoma"/>
            <w:sz w:val="20"/>
            <w:szCs w:val="20"/>
          </w:rPr>
          <w:t>Общая посещаемость и поведенческие факторы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" w:history="1">
        <w:r>
          <w:rPr>
            <w:rFonts w:ascii="Tahoma" w:hAnsi="Tahoma" w:eastAsia="Tahoma" w:cs="Tahoma"/>
            <w:sz w:val="20"/>
            <w:szCs w:val="20"/>
          </w:rPr>
          <w:t>Распределение трафика по каналам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" w:history="1">
        <w:r>
          <w:rPr>
            <w:rFonts w:ascii="Tahoma" w:hAnsi="Tahoma" w:eastAsia="Tahoma" w:cs="Tahoma"/>
            <w:sz w:val="20"/>
            <w:szCs w:val="20"/>
          </w:rPr>
          <w:t>Динамика трафика из таргетированной рекламы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" w:history="1">
        <w:r>
          <w:rPr>
            <w:rFonts w:ascii="Tahoma" w:hAnsi="Tahoma" w:eastAsia="Tahoma" w:cs="Tahoma"/>
            <w:sz w:val="20"/>
            <w:szCs w:val="20"/>
          </w:rPr>
          <w:t>Тип устройств, с которых были переходы за отчетный период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5" w:history="1">
        <w:r>
          <w:rPr>
            <w:rFonts w:ascii="Tahoma" w:hAnsi="Tahoma" w:eastAsia="Tahoma" w:cs="Tahoma"/>
            <w:sz w:val="20"/>
            <w:szCs w:val="20"/>
          </w:rPr>
          <w:t>География посетителей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6" w:history="1">
        <w:r>
          <w:rPr>
            <w:rFonts w:ascii="Tahoma" w:hAnsi="Tahoma" w:eastAsia="Tahoma" w:cs="Tahoma"/>
            <w:sz w:val="20"/>
            <w:szCs w:val="20"/>
          </w:rPr>
          <w:t>Популярные посадочные страницы из социальных сетей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7" w:history="1">
        <w:r>
          <w:rPr>
            <w:rFonts w:ascii="Tahoma" w:hAnsi="Tahoma" w:eastAsia="Tahoma" w:cs="Tahoma"/>
            <w:sz w:val="20"/>
            <w:szCs w:val="20"/>
          </w:rPr>
          <w:t>Конверсии из социальных сетей</w:t>
        </w:r>
        <w:r>
          <w:tab/>
        </w:r>
        <w:r>
          <w:fldChar w:fldCharType="begin"/>
        </w:r>
        <w:r>
          <w:instrText xml:space="preserve">PAGEREF _Toc7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8" w:history="1">
        <w:r>
          <w:rPr>
            <w:rFonts w:ascii="Tahoma" w:hAnsi="Tahoma" w:eastAsia="Tahoma" w:cs="Tahoma"/>
            <w:sz w:val="20"/>
            <w:szCs w:val="20"/>
          </w:rPr>
          <w:t>VK Реклама: общие показатели</w:t>
        </w:r>
        <w:r>
          <w:tab/>
        </w:r>
        <w:r>
          <w:fldChar w:fldCharType="begin"/>
        </w:r>
        <w:r>
          <w:instrText xml:space="preserve">PAGEREF _Toc8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9" w:history="1">
        <w:r>
          <w:rPr>
            <w:rFonts w:ascii="Tahoma" w:hAnsi="Tahoma" w:eastAsia="Tahoma" w:cs="Tahoma"/>
            <w:sz w:val="20"/>
            <w:szCs w:val="20"/>
          </w:rPr>
          <w:t>VK Реклама: кампании</w:t>
        </w:r>
        <w:r>
          <w:tab/>
        </w:r>
        <w:r>
          <w:fldChar w:fldCharType="begin"/>
        </w:r>
        <w:r>
          <w:instrText xml:space="preserve">PAGEREF _Toc9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0" w:history="1">
        <w:r>
          <w:rPr>
            <w:rFonts w:ascii="Tahoma" w:hAnsi="Tahoma" w:eastAsia="Tahoma" w:cs="Tahoma"/>
            <w:sz w:val="20"/>
            <w:szCs w:val="20"/>
          </w:rPr>
          <w:t>VK Реклама: объявления</w:t>
        </w:r>
        <w:r>
          <w:tab/>
        </w:r>
        <w:r>
          <w:fldChar w:fldCharType="begin"/>
        </w:r>
        <w:r>
          <w:instrText xml:space="preserve">PAGEREF _Toc10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1" w:history="1">
        <w:r>
          <w:rPr>
            <w:rFonts w:ascii="Tahoma" w:hAnsi="Tahoma" w:eastAsia="Tahoma" w:cs="Tahoma"/>
            <w:sz w:val="20"/>
            <w:szCs w:val="20"/>
          </w:rPr>
          <w:t>Facebook: общие показатели</w:t>
        </w:r>
        <w:r>
          <w:tab/>
        </w:r>
        <w:r>
          <w:fldChar w:fldCharType="begin"/>
        </w:r>
        <w:r>
          <w:instrText xml:space="preserve">PAGEREF _Toc11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2" w:history="1">
        <w:r>
          <w:rPr>
            <w:rFonts w:ascii="Tahoma" w:hAnsi="Tahoma" w:eastAsia="Tahoma" w:cs="Tahoma"/>
            <w:sz w:val="20"/>
            <w:szCs w:val="20"/>
          </w:rPr>
          <w:t>Facebook: кампании</w:t>
        </w:r>
        <w:r>
          <w:tab/>
        </w:r>
        <w:r>
          <w:fldChar w:fldCharType="begin"/>
        </w:r>
        <w:r>
          <w:instrText xml:space="preserve">PAGEREF _Toc12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3" w:history="1">
        <w:r>
          <w:rPr>
            <w:rFonts w:ascii="Tahoma" w:hAnsi="Tahoma" w:eastAsia="Tahoma" w:cs="Tahoma"/>
            <w:sz w:val="20"/>
            <w:szCs w:val="20"/>
          </w:rPr>
          <w:t>Facebook: география переходов</w:t>
        </w:r>
        <w:r>
          <w:tab/>
        </w:r>
        <w:r>
          <w:fldChar w:fldCharType="begin"/>
        </w:r>
        <w:r>
          <w:instrText xml:space="preserve">PAGEREF _Toc13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4" w:history="1">
        <w:r>
          <w:rPr>
            <w:rFonts w:ascii="Tahoma" w:hAnsi="Tahoma" w:eastAsia="Tahoma" w:cs="Tahoma"/>
            <w:sz w:val="20"/>
            <w:szCs w:val="20"/>
          </w:rPr>
          <w:t>Facebook: объявления</w:t>
        </w:r>
        <w:r>
          <w:tab/>
        </w:r>
        <w:r>
          <w:fldChar w:fldCharType="begin"/>
        </w:r>
        <w:r>
          <w:instrText xml:space="preserve">PAGEREF _Toc14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5" w:history="1">
        <w:r>
          <w:rPr>
            <w:rFonts w:ascii="Tahoma" w:hAnsi="Tahoma" w:eastAsia="Tahoma" w:cs="Tahoma"/>
            <w:sz w:val="20"/>
            <w:szCs w:val="20"/>
          </w:rPr>
          <w:t>Статистика по звонкам</w:t>
        </w:r>
        <w:r>
          <w:tab/>
        </w:r>
        <w:r>
          <w:fldChar w:fldCharType="begin"/>
        </w:r>
        <w:r>
          <w:instrText xml:space="preserve">PAGEREF _Toc15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6" w:history="1">
        <w:r>
          <w:rPr>
            <w:rFonts w:ascii="Tahoma" w:hAnsi="Tahoma" w:eastAsia="Tahoma" w:cs="Tahoma"/>
            <w:sz w:val="20"/>
            <w:szCs w:val="20"/>
          </w:rPr>
          <w:t>Источники звонков</w:t>
        </w:r>
        <w:r>
          <w:tab/>
        </w:r>
        <w:r>
          <w:fldChar w:fldCharType="begin"/>
        </w:r>
        <w:r>
          <w:instrText xml:space="preserve">PAGEREF _Toc16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7" w:history="1">
        <w:r>
          <w:rPr>
            <w:rFonts w:ascii="Tahoma" w:hAnsi="Tahoma" w:eastAsia="Tahoma" w:cs="Tahoma"/>
            <w:sz w:val="20"/>
            <w:szCs w:val="20"/>
          </w:rPr>
          <w:t>Электронная коммерция</w:t>
        </w:r>
        <w:r>
          <w:tab/>
        </w:r>
        <w:r>
          <w:fldChar w:fldCharType="begin"/>
        </w:r>
        <w:r>
          <w:instrText xml:space="preserve">PAGEREF _Toc17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8" w:history="1">
        <w:r>
          <w:rPr>
            <w:rFonts w:ascii="Tahoma" w:hAnsi="Tahoma" w:eastAsia="Tahoma" w:cs="Tahoma"/>
            <w:sz w:val="20"/>
            <w:szCs w:val="20"/>
          </w:rPr>
          <w:t>Доход по источникам трафика</w:t>
        </w:r>
        <w:r>
          <w:tab/>
        </w:r>
        <w:r>
          <w:fldChar w:fldCharType="begin"/>
        </w:r>
        <w:r>
          <w:instrText xml:space="preserve">PAGEREF _Toc18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9" w:history="1">
        <w:r>
          <w:rPr>
            <w:rFonts w:ascii="Tahoma" w:hAnsi="Tahoma" w:eastAsia="Tahoma" w:cs="Tahoma"/>
            <w:sz w:val="20"/>
            <w:szCs w:val="20"/>
          </w:rPr>
          <w:t>Популярные категории товаров</w:t>
        </w:r>
        <w:r>
          <w:tab/>
        </w:r>
        <w:r>
          <w:fldChar w:fldCharType="begin"/>
        </w:r>
        <w:r>
          <w:instrText xml:space="preserve">PAGEREF _Toc19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0" w:history="1">
        <w:r>
          <w:rPr>
            <w:rFonts w:ascii="Tahoma" w:hAnsi="Tahoma" w:eastAsia="Tahoma" w:cs="Tahoma"/>
            <w:sz w:val="20"/>
            <w:szCs w:val="20"/>
          </w:rPr>
          <w:t>Популярные товары</w:t>
        </w:r>
        <w:r>
          <w:tab/>
        </w:r>
        <w:r>
          <w:fldChar w:fldCharType="begin"/>
        </w:r>
        <w:r>
          <w:instrText xml:space="preserve">PAGEREF _Toc20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1" w:history="1">
        <w:r>
          <w:rPr>
            <w:rFonts w:ascii="Tahoma" w:hAnsi="Tahoma" w:eastAsia="Tahoma" w:cs="Tahoma"/>
            <w:sz w:val="20"/>
            <w:szCs w:val="20"/>
          </w:rPr>
          <w:t>Проделанная работа</w:t>
        </w:r>
        <w:r>
          <w:tab/>
        </w:r>
        <w:r>
          <w:fldChar w:fldCharType="begin"/>
        </w:r>
        <w:r>
          <w:instrText xml:space="preserve">PAGEREF _Toc21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2" w:history="1">
        <w:r>
          <w:rPr>
            <w:rFonts w:ascii="Tahoma" w:hAnsi="Tahoma" w:eastAsia="Tahoma" w:cs="Tahoma"/>
            <w:sz w:val="20"/>
            <w:szCs w:val="20"/>
          </w:rPr>
          <w:t>Планируемая работа</w:t>
        </w:r>
        <w:r>
          <w:tab/>
        </w:r>
        <w:r>
          <w:fldChar w:fldCharType="begin"/>
        </w:r>
        <w:r>
          <w:instrText xml:space="preserve">PAGEREF _Toc22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109"/>
          <w:pgSz w:w="11906" w:h="16838"/>
          <w:pgMar w:top="750" w:right="964" w:bottom="1134" w:left="964" w:header="250" w:footer="720" w:gutter="0"/>
          <w:cols w:space="720"/>
        </w:sectPr>
      </w:pPr>
    </w:p>
    <w:p>
      <w:pPr>
        <w:pStyle w:val="Heading2"/>
      </w:pPr>
      <w:bookmarkStart w:id="0" w:name="_Toc0"/>
      <w:r>
        <w:t>Итоги месяца</w:t>
      </w:r>
      <w:bookmarkEnd w:id="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Таргетированная реклама интернет-магазина «Мебель Маркет»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 этом месяце дала рост переходов, заявок и продаж из социальных сетей. Лучше всего сработали кампании на теплые аудитории: посетители сайта, пользователи с брошенной корзиной и похожие аудитории покупателей.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VK Ads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дал основной объем кликов и лучше всего отработал по диванам, кроватям и акциям на готовые комплекты.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Facebook Реклама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показала более высокий средний чек и хорошо сработала в визуальных объявлениях по спальням и интерьерным подборкам.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Посадочные страницы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 акциями и категориями мебели получают достаточно трафика, поэтому их нужно проверять по конверсии и удобству заказа.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Следующий фокус: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усилить ремаркетинг, отключить слабые креативы и доработать мобильные посадочные, где есть клики, но мало заявок.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Главный вывод для клиента: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таргет уже приводит покупателей, но часть бюджета можно высвободить за счет слабых объявлений и перенести в аудитории с лучшей ценой обращения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</w:t>
      </w:r>
    </w:p>
    <w:p>
      <w:r>
        <w:br w:type="page"/>
      </w:r>
    </w:p>
    <w:p>
      <w:pPr>
        <w:pStyle w:val="Heading2"/>
      </w:pPr>
      <w:bookmarkStart w:id="1" w:name="_Toc1"/>
      <w:r>
        <w:t>Общая посещаемость и поведенческие факторы</w:t>
      </w:r>
      <w:bookmarkEnd w:id="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Общая динамика положительная: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таргетированная реклама привела больше пользователей из социальных сетей, при этом глубина просмотра и время на сайте выросли. Это значит, что аудитории стали точнее.</w:t>
      </w:r>
    </w:p>
    <w:p>
      <w:pPr/>
      <w:r>
        <w:pict>
          <v:shape type="#_x0000_t75" stroked="f" style="width:498.89763779528pt; height:245.61114476075pt; margin-left:0pt; margin-top:0pt; mso-position-horizontal:left; mso-position-vertical:top; mso-position-horizontal-relative:char; mso-position-vertical-relative:line;">
            <v:imagedata r:id="rId9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 w:w="3326"/>
              <w:gridCol w:w="3326"/>
              <w:gridCol w:w="3326"/>
            </w:tblGrid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посетителей: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визитов: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просмотров:</w:t>
                  </w:r>
                </w:p>
              </w:tc>
            </w:tr>
            <w:tr>
              <w:trPr/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16880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+8%</w:t>
                  </w:r>
                </w:p>
              </w:tc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21640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68210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+16%</w: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10" o:title=""/>
                      </v:shape>
                    </w:pic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11" o:title=""/>
                      </v:shape>
                    </w:pic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12" o:title=""/>
                      </v:shape>
                    </w:pic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просмотра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Длительность визита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Показатель отказов</w: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3.15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+6%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02:29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+10%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29%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-4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отдельно разобрать аудитории и креативы, где отказ выше среднего. Обычно это решается более конкретным оффером и посадочной страницей под выбранную категорию мебели.</w:t>
      </w:r>
    </w:p>
    <w:p>
      <w:r>
        <w:br w:type="page"/>
      </w:r>
    </w:p>
    <w:p>
      <w:pPr>
        <w:pStyle w:val="Heading2"/>
      </w:pPr>
      <w:bookmarkStart w:id="2" w:name="_Toc2"/>
      <w:r>
        <w:t>Распределение трафика по каналам</w:t>
      </w:r>
      <w:bookmarkEnd w:id="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блоке важно смотреть на строку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«Переходы из социальных сетей»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 Для target-отчета она показывает вклад VK Ads и Facebook Рекламы в общий трафик интернет-магазина.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3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Поисковые системы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7040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Прямые заходы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2420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+5%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по рекламе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3280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социальных сетей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7820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по ссылкам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680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-6%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Email-рассылки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400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-35%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495"/>
        <w:gridCol w:w="2793"/>
        <w:gridCol w:w="1350"/>
        <w:gridCol w:w="1245"/>
        <w:gridCol w:w="2265"/>
        <w:gridCol w:w="1830"/>
      </w:tblGrid>
      <w:tr>
        <w:trPr>
          <w:tblHeader w:val="1"/>
        </w:trPr>
        <w:tc>
          <w:tcPr>
            <w:tcW w:w="495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79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24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26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Поисковые системы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7040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+10%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3.51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+2%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02:54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+3%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по рекламе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+12%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+7%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7820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+14%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-4%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3.15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02:29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+10%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по ссылкам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680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 -6%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Email-рассылки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 -35%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3.92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+3%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03:24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+4%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social-трафик растет, но отказ выше поиска. Нужно улучшать посадочные под мобильные переходы и отключать аудитории, где клики не переходят в заявки.</w:t>
      </w:r>
    </w:p>
    <w:p>
      <w:r>
        <w:br w:type="page"/>
      </w:r>
    </w:p>
    <w:p>
      <w:pPr>
        <w:pStyle w:val="Heading2"/>
      </w:pPr>
      <w:bookmarkStart w:id="3" w:name="_Toc3"/>
      <w:r>
        <w:t>Динамика трафика из таргетированной рекламы</w:t>
      </w:r>
      <w:bookmarkEnd w:id="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Динамика social-трафика показывает, что рост шел постепенно: кампании масштабировались без резких скачков бюджета и без просадок качества аудитории.</w:t>
      </w:r>
    </w:p>
    <w:p>
      <w:pPr/>
      <w:r>
        <w:pict>
          <v:shape type="#_x0000_t75" stroked="f" style="width:498.89763779528pt; height:264.47585618063pt; margin-left:0pt; margin-top:0pt; mso-position-horizontal:left; mso-position-vertical:top; mso-position-horizontal-relative:char; mso-position-vertical-relative:line;">
            <v:imagedata r:id="rId20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21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22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23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24" o:title=""/>
                      </v:shape>
                    </w:pict>
                  </w:r>
                </w:p>
              </w:tc>
            </w:tr>
            <w:tr>
              <w:trPr/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Визиты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Отказы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просмотров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Время на сайте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7820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29%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↓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3.15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02:29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  <w:tr>
              <w:trPr/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6840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33%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2.96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02:16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не масштабировать все аудитории одновременно. Сначала увеличивать бюджет на ремаркетинг и look-alike, где заявки дешевле и поведение на сайте лучше.</w:t>
      </w:r>
    </w:p>
    <w:p>
      <w:r>
        <w:br w:type="page"/>
      </w:r>
    </w:p>
    <w:p>
      <w:pPr>
        <w:pStyle w:val="Heading2"/>
      </w:pPr>
      <w:bookmarkStart w:id="4" w:name="_Toc4"/>
      <w:r>
        <w:t>Тип устройств, с которых были переходы за отчетный период</w:t>
      </w:r>
      <w:bookmarkEnd w:id="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Смартфоны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дают основную часть переходов из VK Ads и Facebook. Для target-отчета это критично: пользователь видит объявление в ленте и принимает решение прямо на мобильной странице.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25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6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Смартфоны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5940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+15%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7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ПК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1320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8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Планшеты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470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+15%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9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Smart TV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90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+13%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48"/>
        <w:gridCol w:w="1275"/>
        <w:gridCol w:w="1125"/>
        <w:gridCol w:w="2100"/>
        <w:gridCol w:w="183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4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Тип устройства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1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Смартфоны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5940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02:24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ПК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3.72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03:10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Планшеты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02:44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Smart TV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1.78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00:54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проверить мобильные карточки товаров, фильтры, скорость загрузки и заметность кнопок «Купить» и «Получить консультацию».</w:t>
      </w:r>
    </w:p>
    <w:p>
      <w:r>
        <w:br w:type="page"/>
      </w:r>
    </w:p>
    <w:p>
      <w:pPr>
        <w:pStyle w:val="Heading2"/>
      </w:pPr>
      <w:bookmarkStart w:id="5" w:name="_Toc5"/>
      <w:r>
        <w:t>География посетителей</w:t>
      </w:r>
      <w:bookmarkEnd w:id="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спрос из таргетированной рекламы сосредоточен в Москве и Санкт-Петербурге. По остальным регионам важно смотреть не только клики, но и возможность быстрой доставки крупной мебели.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30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Москва и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3560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Санкт-Петербург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1280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Краснодарский край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+19%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Свердловская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Татарстан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Новосибирская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670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+20%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1803"/>
        <w:gridCol w:w="1275"/>
        <w:gridCol w:w="1275"/>
        <w:gridCol w:w="2775"/>
        <w:gridCol w:w="225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18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Регион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7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22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Москва и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02:42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Санкт-Петербург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02:31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Краснодарский край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02:18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Свердловская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2.86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Татарстан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2.82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02:06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Новосибирская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2.7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01:58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Нижегородская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2.58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Ростовская область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2.5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01:44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для регионов с повышенным отказом проверить условия доставки на посадочных и не показывать объявления там, где стоимость доставки мешает покупке.</w:t>
      </w:r>
    </w:p>
    <w:p>
      <w:r>
        <w:br w:type="page"/>
      </w:r>
    </w:p>
    <w:p>
      <w:pPr>
        <w:pStyle w:val="Heading2"/>
      </w:pPr>
      <w:bookmarkStart w:id="6" w:name="_Toc6"/>
      <w:r>
        <w:t>Популярные посадочные страницы из социальных сетей</w:t>
      </w:r>
      <w:bookmarkEnd w:id="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Здесь видно, какие страницы получают больше всего переходов из таргетированной рекламы и социальных сетей. Эти страницы нужно проверять первыми: если трафик есть, но заявок мало, проблема обычно в оффере, ассортименте или удобстве заказа.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7578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75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URL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38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39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https://mebel-market.com/krovati/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0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https://mebel-market.com/spalnya/komplekty/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+21%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41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https://mebel-market.com/matrasy/160x200/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+19%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2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https://mebel-market.com/divany/uglovye/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+19%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43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https://mebel-market.com/shkafy-kupe/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4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https://mebel-market.com/krovati/podemnyy-mehanizm/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+15%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45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https://mebel-market.com/gostinye/modulnye/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+19%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6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https://mebel-market.com/akcii/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+26%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hyperlink r:id="rId47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https://mebel-market.com/dostavka/</w:t>
              </w:r>
            </w:hyperlink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+8%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страницы шкафов-купе и доставки получают заметный трафик, но требуют отдельной проверки: на них важно сразу показать сроки, стоимость доставки, наличие и кнопку консультации.</w:t>
      </w:r>
    </w:p>
    <w:p>
      <w:r>
        <w:br w:type="page"/>
      </w:r>
    </w:p>
    <w:p>
      <w:pPr>
        <w:pStyle w:val="Heading2"/>
      </w:pPr>
      <w:bookmarkStart w:id="7" w:name="_Toc7"/>
      <w:r>
        <w:t>Конверсии из социальных сетей</w:t>
      </w:r>
      <w:bookmarkEnd w:id="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Блок показывает, сколько заявок, корзин и покупок пришло из социальных сетей и таргетированной рекламы. Для клиента это главный показатель качества трафика, а не просто количества кликов.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Заказ в корзине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48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49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0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1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+20%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2.03%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+0.26%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4473.33р.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-10%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Заявка на консультацию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52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3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4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5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84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+27%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3.17%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+0.4%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3195.24р.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-15%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сохранить кампании, которые дают заявки на консультацию, и отдельно проверить объявления, где клики есть, а корзин мало. Там нужно менять креатив или посадочную страницу.</w:t>
      </w:r>
    </w:p>
    <w:p>
      <w:r>
        <w:br w:type="page"/>
      </w:r>
    </w:p>
    <w:p>
      <w:pPr>
        <w:pStyle w:val="Heading2"/>
      </w:pPr>
      <w:bookmarkStart w:id="8" w:name="_Toc8"/>
      <w:r>
        <w:t>VK Реклама: общие показатели</w:t>
      </w:r>
      <w:bookmarkEnd w:id="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VK Ads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дает основной объем переходов из таргетированной рекламы. В этом блоке смотрим охват, клики, стоимость клика и общий расход по рекламному кабинету.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56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57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58" o:title=""/>
                      </v:shape>
                    </w:pict>
                  </w:r>
                </w:p>
              </w:tc>
            </w:tr>
            <w:tr>
              <w:trPr/>
              <w:tc>
                <w:tcPr>
                  <w:vAlign w:val="center"/>
                  <w:gridSpan w:val="3"/>
                  <w:noWrap/>
                </w:tcPr>
                <w:p>
                  <w:pPr>
                    <w:spacing w:before="30"/>
                    <w:jc w:val="center"/>
                  </w:pP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59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Предыдущий период      </w:t>
                  </w:r>
                  <w:r>
                    <w:rPr/>
                    <w:t xml:space="preserve"> </w:t>
                  </w:r>
                  <w:r>
                    <w:rPr/>
                    <w:t xml:space="preserve"> </w:t>
                  </w: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60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Отчетный период</w:t>
                  </w:r>
                </w:p>
              </w:tc>
            </w:tr>
          </w:tbl>
          <w:p/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Охват: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показов: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кликов: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346000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924000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+7%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8120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CTR: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Стоимость 1 клика: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Стоимость 1000 показов: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0.879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+0.03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24.24р.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-6%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212.99р.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-3%</w:t>
                  </w:r>
                </w:p>
              </w:tc>
            </w:tr>
            <w:tr>
              <w:trPr/>
              <w:tc>
                <w:tcPr>
                  <w:vAlign w:val="center"/>
                  <w:shd w:val="clear" w:fill="F9FAFB"/>
                  <w:gridSpan w:val="3"/>
                  <w:noWrap/>
                </w:tcPr>
                <w:p>
                  <w:pPr>
                    <w:spacing w:before="20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Расходы: </w:t>
                  </w:r>
                  <w:r>
                    <w:rPr>
                      <w:rFonts w:ascii="Tahoma" w:hAnsi="Tahoma" w:eastAsia="Tahoma" w:cs="Tahoma"/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196800р.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+4%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кликов стало больше, но бюджет нужно переносить не просто в самые кликабельные кампании, а в те, где заявки и покупки обходятся дешевле.</w:t>
      </w:r>
    </w:p>
    <w:p>
      <w:r>
        <w:br w:type="page"/>
      </w:r>
    </w:p>
    <w:p>
      <w:pPr>
        <w:pStyle w:val="Heading2"/>
      </w:pPr>
      <w:bookmarkStart w:id="9" w:name="_Toc9"/>
      <w:r>
        <w:t>VK Реклама: кампании</w:t>
      </w:r>
      <w:bookmarkEnd w:id="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Кампании VK Ads сравниваем по кликам и расходам. Это помогает понять, где бюджет дает заинтересованный трафик, а где работает только на охват.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989"/>
      </w:tblGrid>
      <w:tr>
        <w:trPr/>
        <w:tc>
          <w:tcPr>
            <w:tcW w:w="4989" w:type="dxa"/>
            <w:noWrap/>
          </w:tcPr>
          <w:p>
            <w:pPr>
              <w:spacing w:before="0" w:after="0"/>
              <w:jc w:val="center"/>
            </w:pPr>
            <w:r>
              <w:pict>
                <v:shape type="#_x0000_t75" stroked="f" style="width:187.5pt; height:187.5pt; margin-left:0pt; margin-top:0pt; mso-position-horizontal:left; mso-position-vertical:top; mso-position-horizontal-relative:char; mso-position-vertical-relative:line;">
                  <v:imagedata r:id="rId61" o:title=""/>
                </v:shape>
              </w:pict>
            </w:r>
          </w:p>
        </w:tc>
        <w:tc>
          <w:tcPr>
            <w:tcW w:w="4989" w:type="dxa"/>
            <w:noWrap/>
          </w:tcPr>
          <w:p>
            <w:pPr>
              <w:spacing w:before="0" w:after="0"/>
              <w:jc w:val="center"/>
            </w:pPr>
            <w:r>
              <w:pict>
                <v:shape type="#_x0000_t75" stroked="f" style="width:187.5pt; height:187.5pt; margin-left:0pt; margin-top:0pt; mso-position-horizontal:left; mso-position-vertical:top; mso-position-horizontal-relative:char; mso-position-vertical-relative:line;">
                  <v:imagedata r:id="rId62" o:title=""/>
                </v:shape>
              </w:pict>
            </w:r>
          </w:p>
        </w:tc>
      </w:tr>
      <w:tr>
        <w:trPr/>
        <w:tc>
          <w:tcPr>
            <w:noWrap/>
          </w:tcPr>
          <w:p>
            <w:pPr>
              <w:spacing w:before="0" w:after="250"/>
              <w:jc w:val="center"/>
            </w:pPr>
            <w:r>
              <w:rPr>
                <w:rFonts w:ascii="Tahoma" w:hAnsi="Tahoma" w:eastAsia="Tahoma" w:cs="Tahoma"/>
                <w:sz w:val="21"/>
                <w:szCs w:val="21"/>
                <w:b w:val="1"/>
                <w:bCs w:val="1"/>
              </w:rPr>
              <w:t xml:space="preserve">Распределение кликов</w:t>
            </w:r>
          </w:p>
        </w:tc>
        <w:tc>
          <w:tcPr>
            <w:noWrap/>
          </w:tcPr>
          <w:p>
            <w:pPr>
              <w:spacing w:before="0" w:after="250"/>
              <w:jc w:val="center"/>
            </w:pPr>
            <w:r>
              <w:rPr>
                <w:rFonts w:ascii="Tahoma" w:hAnsi="Tahoma" w:eastAsia="Tahoma" w:cs="Tahoma"/>
                <w:sz w:val="21"/>
                <w:szCs w:val="21"/>
                <w:b w:val="1"/>
                <w:bCs w:val="1"/>
              </w:rPr>
              <w:t xml:space="preserve">Распределение бюджета</w:t>
            </w:r>
          </w:p>
        </w:tc>
      </w:tr>
    </w:tbl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708"/>
        <w:gridCol w:w="1035"/>
        <w:gridCol w:w="1125"/>
        <w:gridCol w:w="1080"/>
        <w:gridCol w:w="1020"/>
        <w:gridCol w:w="135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70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Кампания</w:t>
            </w:r>
          </w:p>
        </w:tc>
        <w:tc>
          <w:tcPr>
            <w:tcW w:w="10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Охват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108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02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  <w:right w:val="single" w:sz="1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Расходы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Ремаркетинг / Посетители сайта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218000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1.09%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52400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Look-alike / Покупатели мебели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91000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204000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1890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0.93%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46800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Каталог / Диваны и кровати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188000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0.91%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43200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Интересы / Ремонт и интерьер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64000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162000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1240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0.77%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31800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1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Видео / Новая коллекция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152000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890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0.59%</w:t>
            </w:r>
          </w:p>
        </w:tc>
        <w:tc>
          <w:tcPr>
            <w:vAlign w:val="top"/>
            <w:tcBorders>
              <w:right w:val="single" w:sz="1" w:color="E0E0E0" w:space="0"/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22600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ремаркетинг и похожие аудитории покупателей нужно усиливать, а холодные интересы масштабировать только после проверки стоимости заявки.</w:t>
      </w:r>
    </w:p>
    <w:p>
      <w:r>
        <w:br w:type="page"/>
      </w:r>
    </w:p>
    <w:p>
      <w:pPr>
        <w:pStyle w:val="Heading2"/>
      </w:pPr>
      <w:bookmarkStart w:id="10" w:name="_Toc10"/>
      <w:r>
        <w:t>VK Реклама: объявления</w:t>
      </w:r>
      <w:bookmarkEnd w:id="1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блоке видно, какие объявления VK Ads дают больше кликов. Для клиента это список креативов, которые стоит оставить, усилить или заменить.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63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708"/>
        <w:gridCol w:w="1035"/>
        <w:gridCol w:w="1125"/>
        <w:gridCol w:w="1080"/>
        <w:gridCol w:w="1020"/>
        <w:gridCol w:w="135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70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Объявление</w:t>
            </w:r>
          </w:p>
        </w:tc>
        <w:tc>
          <w:tcPr>
            <w:tcW w:w="10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Охват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108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02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Расходы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Диваны со скидкой до 20%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156000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1.04%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34200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хранением за 1 день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132000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0.89%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28600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Подборка мебели для спальни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118000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0.83%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24600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Модульный диван под ваш размер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104000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0.88%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22800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Новая коллекция столов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17600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AED581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Рассрочка на мебель 0-0-12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0.68%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15400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объявления с конкретным товаром и понятным оффером работают лучше общих баннеров. Слабые креативы нужно заменить на варианты с ценой, доставкой и рассрочкой.</w:t>
      </w:r>
    </w:p>
    <w:p>
      <w:r>
        <w:br w:type="page"/>
      </w:r>
    </w:p>
    <w:p>
      <w:pPr>
        <w:pStyle w:val="Heading2"/>
      </w:pPr>
      <w:bookmarkStart w:id="11" w:name="_Toc11"/>
      <w:r>
        <w:t>Facebook: общие показатели</w:t>
      </w:r>
      <w:bookmarkEnd w:id="1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Facebook Реклама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лучше всего работает как визуальный канал: пользователи хорошо реагируют на подборки мебели в интерьере, спальни и готовые комплекты.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64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65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66" o:title=""/>
                      </v:shape>
                    </w:pict>
                  </w:r>
                </w:p>
              </w:tc>
            </w:tr>
            <w:tr>
              <w:trPr/>
              <w:tc>
                <w:tcPr>
                  <w:vAlign w:val="center"/>
                  <w:gridSpan w:val="3"/>
                  <w:noWrap/>
                </w:tcPr>
                <w:p>
                  <w:pPr>
                    <w:spacing w:before="30"/>
                    <w:jc w:val="center"/>
                  </w:pP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67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Предыдущий период      </w:t>
                  </w:r>
                  <w:r>
                    <w:rPr/>
                    <w:t xml:space="preserve"> </w:t>
                  </w:r>
                  <w:r>
                    <w:rPr/>
                    <w:t xml:space="preserve"> </w:t>
                  </w: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68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Отчетный период</w:t>
                  </w:r>
                </w:p>
              </w:tc>
            </w:tr>
          </w:tbl>
          <w:p/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Охват: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показов: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кликов: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236000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612000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+6%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4920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CTR: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Стоимость 1 клика: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Стоимость 1000 показов: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0.804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+0.04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31.14р.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-8%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250.39р.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-2%</w:t>
                  </w:r>
                </w:p>
              </w:tc>
            </w:tr>
            <w:tr>
              <w:trPr/>
              <w:tc>
                <w:tcPr>
                  <w:vAlign w:val="center"/>
                  <w:shd w:val="clear" w:fill="F9FAFB"/>
                  <w:gridSpan w:val="3"/>
                  <w:noWrap/>
                </w:tcPr>
                <w:p>
                  <w:pPr>
                    <w:spacing w:before="20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Расходы: </w:t>
                  </w:r>
                  <w:r>
                    <w:rPr>
                      <w:rFonts w:ascii="Tahoma" w:hAnsi="Tahoma" w:eastAsia="Tahoma" w:cs="Tahoma"/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153200р.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+4%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объявления по дизайну интерьера дают охват, но клики дороже. Их стоит оставить только для верхней части воронки, а бюджет продаж переносить в ремаркетинг и look-alike покупателей.</w:t>
      </w:r>
    </w:p>
    <w:p>
      <w:r>
        <w:br w:type="page"/>
      </w:r>
    </w:p>
    <w:p>
      <w:pPr>
        <w:pStyle w:val="Heading2"/>
      </w:pPr>
      <w:bookmarkStart w:id="12" w:name="_Toc12"/>
      <w:r>
        <w:t>Facebook: кампании</w:t>
      </w:r>
      <w:bookmarkEnd w:id="1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Кампании Facebook сравниваем по кликам и расходам. Для клиента главное: где бюджет превращается в заинтересованные переходы, а где расход нужен только для охвата.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989"/>
      </w:tblGrid>
      <w:tr>
        <w:trPr/>
        <w:tc>
          <w:tcPr>
            <w:tcW w:w="4989" w:type="dxa"/>
            <w:noWrap/>
          </w:tcPr>
          <w:p>
            <w:pPr>
              <w:spacing w:before="0" w:after="0"/>
              <w:jc w:val="center"/>
            </w:pPr>
            <w:r>
              <w:pict>
                <v:shape type="#_x0000_t75" stroked="f" style="width:187.5pt; height:187.5pt; margin-left:0pt; margin-top:0pt; mso-position-horizontal:left; mso-position-vertical:top; mso-position-horizontal-relative:char; mso-position-vertical-relative:line;">
                  <v:imagedata r:id="rId69" o:title=""/>
                </v:shape>
              </w:pict>
            </w:r>
          </w:p>
        </w:tc>
        <w:tc>
          <w:tcPr>
            <w:tcW w:w="4989" w:type="dxa"/>
            <w:noWrap/>
          </w:tcPr>
          <w:p>
            <w:pPr>
              <w:spacing w:before="0" w:after="0"/>
              <w:jc w:val="center"/>
            </w:pPr>
            <w:r>
              <w:pict>
                <v:shape type="#_x0000_t75" stroked="f" style="width:187.5pt; height:187.5pt; margin-left:0pt; margin-top:0pt; mso-position-horizontal:left; mso-position-vertical:top; mso-position-horizontal-relative:char; mso-position-vertical-relative:line;">
                  <v:imagedata r:id="rId70" o:title=""/>
                </v:shape>
              </w:pict>
            </w:r>
          </w:p>
        </w:tc>
      </w:tr>
      <w:tr>
        <w:trPr/>
        <w:tc>
          <w:tcPr>
            <w:noWrap/>
          </w:tcPr>
          <w:p>
            <w:pPr>
              <w:spacing w:before="0" w:after="250"/>
              <w:jc w:val="center"/>
            </w:pPr>
            <w:r>
              <w:rPr>
                <w:rFonts w:ascii="Tahoma" w:hAnsi="Tahoma" w:eastAsia="Tahoma" w:cs="Tahoma"/>
                <w:sz w:val="21"/>
                <w:szCs w:val="21"/>
                <w:b w:val="1"/>
                <w:bCs w:val="1"/>
              </w:rPr>
              <w:t xml:space="preserve">Распределение кликов</w:t>
            </w:r>
          </w:p>
        </w:tc>
        <w:tc>
          <w:tcPr>
            <w:noWrap/>
          </w:tcPr>
          <w:p>
            <w:pPr>
              <w:spacing w:before="0" w:after="250"/>
              <w:jc w:val="center"/>
            </w:pPr>
            <w:r>
              <w:rPr>
                <w:rFonts w:ascii="Tahoma" w:hAnsi="Tahoma" w:eastAsia="Tahoma" w:cs="Tahoma"/>
                <w:sz w:val="21"/>
                <w:szCs w:val="21"/>
                <w:b w:val="1"/>
                <w:bCs w:val="1"/>
              </w:rPr>
              <w:t xml:space="preserve">Распределение бюджета</w:t>
            </w:r>
          </w:p>
        </w:tc>
      </w:tr>
    </w:tbl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708"/>
        <w:gridCol w:w="1035"/>
        <w:gridCol w:w="1125"/>
        <w:gridCol w:w="1080"/>
        <w:gridCol w:w="1020"/>
        <w:gridCol w:w="135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70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Кампания</w:t>
            </w:r>
          </w:p>
        </w:tc>
        <w:tc>
          <w:tcPr>
            <w:tcW w:w="10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Охват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108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02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  <w:right w:val="single" w:sz="1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Расходы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Ремаркетинг / Брошенная корзина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138000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1.03%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39400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Look-alike / Покупатели спальни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151000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0.77%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36200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Каталог / Диваны в интерьере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124000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0.79%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31800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Видео / Обзор коллекции спальни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104000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0.73%</w:t>
            </w:r>
          </w:p>
        </w:tc>
        <w:tc>
          <w:tcPr>
            <w:vAlign w:val="top"/>
            <w:tcBorders>
              <w:right w:val="single" w:sz="1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24600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1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Интересы / Дизайн интерьера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29000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95000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600</w:t>
            </w:r>
          </w:p>
        </w:tc>
        <w:tc>
          <w:tcPr>
            <w:vAlign w:val="top"/>
            <w:tcBorders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0.63%</w:t>
            </w:r>
          </w:p>
        </w:tc>
        <w:tc>
          <w:tcPr>
            <w:vAlign w:val="top"/>
            <w:tcBorders>
              <w:right w:val="single" w:sz="1" w:color="E0E0E0" w:space="0"/>
              <w:bottom w:val="single" w:sz="1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21200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кампании ремаркетинга и look-alike дают наиболее качественный трафик. Их стоит усиливать, а интересы по дизайну интерьера ограничивать по дневному бюджету.</w:t>
      </w:r>
    </w:p>
    <w:p>
      <w:r>
        <w:br w:type="page"/>
      </w:r>
    </w:p>
    <w:p>
      <w:pPr>
        <w:pStyle w:val="Heading2"/>
      </w:pPr>
      <w:bookmarkStart w:id="13" w:name="_Toc13"/>
      <w:r>
        <w:t>Facebook: география переходов</w:t>
      </w:r>
      <w:bookmarkEnd w:id="1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География Facebook помогает понять, где реклама получает клики и где нужно отдельно проверить экономику доставки мебели.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71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Москва и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1840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Санкт-Петербург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920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Краснодарский край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Свердловская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Татарстан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Новосибирская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+6%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390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-3%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618"/>
        <w:gridCol w:w="1035"/>
        <w:gridCol w:w="1125"/>
        <w:gridCol w:w="1080"/>
        <w:gridCol w:w="1170"/>
        <w:gridCol w:w="135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61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Регион</w:t>
            </w:r>
          </w:p>
        </w:tc>
        <w:tc>
          <w:tcPr>
            <w:tcW w:w="10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Охват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108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17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Расходы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Москва и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182000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1.01%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51200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Санкт-Петербург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106000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0.87%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28600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Краснодарский край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0.85%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18600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Свердловская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0.79%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15400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Татарстан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0.78%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13200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Новосибирская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0.72%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10800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Нижегородская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0.56%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8300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Ростовская область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13000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33000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0.52%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7100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 Нижегородской и Ростовской областям кликов меньше и CTR ниже. Перед увеличением бюджета нужно проверить офферы доставки и наличие популярных товаров в этих регионах.</w:t>
      </w:r>
    </w:p>
    <w:p>
      <w:r>
        <w:br w:type="page"/>
      </w:r>
    </w:p>
    <w:p>
      <w:pPr>
        <w:pStyle w:val="Heading2"/>
      </w:pPr>
      <w:bookmarkStart w:id="14" w:name="_Toc14"/>
      <w:r>
        <w:t>Facebook: объявления</w:t>
      </w:r>
      <w:bookmarkEnd w:id="1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блоке видно, какие объявления дают больше кликов. Для таргета это важно: слабый креатив быстро поднимает стоимость обращения даже при правильной аудитории.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79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708"/>
        <w:gridCol w:w="1035"/>
        <w:gridCol w:w="1125"/>
        <w:gridCol w:w="1080"/>
        <w:gridCol w:w="1020"/>
        <w:gridCol w:w="135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70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Объявление</w:t>
            </w:r>
          </w:p>
        </w:tc>
        <w:tc>
          <w:tcPr>
            <w:tcW w:w="10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Охват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108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02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Расходы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Спальня под ключ: кровать + тумбы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30600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в наличии с доставкой завтра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0.93%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27200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Матрасы 160x200 со скидкой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86000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0.86%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22600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Шкаф-купе под размер комнаты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73000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0.77%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18800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Подбор мебели для гостиной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65000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0.72%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16400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AED581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Рассрочка на мебель 0-0-12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21000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0.75%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13600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сохранить объявления с конкретным товарным предложением и ценностью для покупателя, а более общие креативы заменить на варианты с товарами, ценой, доставкой и рассрочкой.</w:t>
      </w:r>
    </w:p>
    <w:p>
      <w:r>
        <w:br w:type="page"/>
      </w:r>
    </w:p>
    <w:p>
      <w:pPr>
        <w:pStyle w:val="Heading2"/>
      </w:pPr>
      <w:bookmarkStart w:id="15" w:name="_Toc15"/>
      <w:r>
        <w:t>Статистика по звонкам</w:t>
      </w:r>
      <w:bookmarkEnd w:id="1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Звонки показывают дополнительный результат таргетированной рекламы: часть пользователей не оформляет заказ сразу, а сначала уточняет наличие, доставку и размеры мебели.</w:t>
      </w:r>
    </w:p>
    <w:p>
      <w:pPr/>
      <w:r>
        <w:pict>
          <v:shape type="#_x0000_t75" stroked="f" style="width:498.89763779528pt; height:245.61114476075pt; margin-left:0pt; margin-top:0pt; mso-position-horizontal:left; mso-position-vertical:top; mso-position-horizontal-relative:char; mso-position-vertical-relative:line;">
            <v:imagedata r:id="rId80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звонков: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Первичных звонков: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Пропущенных звонков: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182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+15%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126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+21%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9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-31%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1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2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3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Среднее время разговора: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Среднее ожидания ответа: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Средняя цена звонка: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03:28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00:17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-23%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360р.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-5%</w:t>
                  </w:r>
                </w:p>
              </w:tc>
            </w:tr>
            <w:tr>
              <w:trPr/>
              <w:tc>
                <w:tcPr>
                  <w:vAlign w:val="center"/>
                  <w:shd w:val="clear" w:fill="F9FAFB"/>
                  <w:gridSpan w:val="3"/>
                  <w:noWrap/>
                </w:tcPr>
                <w:p>
                  <w:pPr>
                    <w:spacing w:before="20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Расходы на звонки: </w:t>
                  </w:r>
                  <w:r>
                    <w:rPr>
                      <w:rFonts w:ascii="Tahoma" w:hAnsi="Tahoma" w:eastAsia="Tahoma" w:cs="Tahoma"/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65 520р.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снизить пропущенные звонки в вечернее время и добавить на посадочные быстрый способ связи для мобильных пользователей.</w:t>
      </w:r>
    </w:p>
    <w:p>
      <w:r>
        <w:br w:type="page"/>
      </w:r>
    </w:p>
    <w:p>
      <w:pPr>
        <w:pStyle w:val="Heading2"/>
      </w:pPr>
      <w:bookmarkStart w:id="16" w:name="_Toc16"/>
      <w:r>
        <w:t>Источники звонков</w:t>
      </w:r>
      <w:bookmarkEnd w:id="1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target-отчете важно смотреть на строку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«Переходы из социальных сетей»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: она показывает, сколько звонков дают VK Ads, Facebook и связанный social-трафик.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84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8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поисковых систем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8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Прямые заходы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+6%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8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с сайтов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8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рекламы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22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8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социальных сетей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по рекламе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2808"/>
        <w:gridCol w:w="1275"/>
        <w:gridCol w:w="1650"/>
        <w:gridCol w:w="1815"/>
        <w:gridCol w:w="183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80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Звонков</w:t>
            </w:r>
          </w:p>
        </w:tc>
        <w:tc>
          <w:tcPr>
            <w:tcW w:w="16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Пропущено</w:t>
            </w:r>
          </w:p>
        </w:tc>
        <w:tc>
          <w:tcPr>
            <w:tcW w:w="181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Стоимость 1 звонка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Общая стоимость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поисковых систем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11780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5760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с сайтов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рекламы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9020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24480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по рекламе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17160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для social-трафика добавить на посадочные короткий сценарий консультации: наличие, размеры, доставка и рассрочка. Это снизит потерю заявок после клика.</w:t>
      </w:r>
    </w:p>
    <w:p>
      <w:r>
        <w:br w:type="page"/>
      </w:r>
    </w:p>
    <w:p>
      <w:pPr>
        <w:pStyle w:val="Heading2"/>
      </w:pPr>
      <w:bookmarkStart w:id="17" w:name="_Toc17"/>
      <w:r>
        <w:t>Электронная коммерция</w:t>
      </w:r>
      <w:bookmarkEnd w:id="1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Электронная коммерция показывает итоговый бизнес-результат: сколько покупок и выручки получил интернет-магазин. Для таргета важно связывать показы и клики с реальными продажами, а не оценивать кампании только по охвату.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91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посетителей: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покупок: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 в покупку: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21640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468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+16%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2.16%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+0.13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доход с визита: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чек: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Доход: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1 235р.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57 115р.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26 730 000р.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+19%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масштабировать не самые дешевые клики, а аудитории и креативы, которые приводят к покупкам и сохраняют нормальный средний чек.</w:t>
      </w:r>
    </w:p>
    <w:p>
      <w:r>
        <w:br w:type="page"/>
      </w:r>
    </w:p>
    <w:p>
      <w:pPr>
        <w:pStyle w:val="Heading2"/>
      </w:pPr>
      <w:bookmarkStart w:id="18" w:name="_Toc18"/>
      <w:r>
        <w:t>Доход по источникам трафика</w:t>
      </w:r>
      <w:bookmarkEnd w:id="1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Здесь видно, какой вклад социальные сети и таргетированная реклама дают в покупки и выручку по сравнению с другими каналами. Это помогает оценивать VK Ads и Facebook по продажам, а не только по охвату.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92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543"/>
        <w:gridCol w:w="1200"/>
        <w:gridCol w:w="1575"/>
        <w:gridCol w:w="1200"/>
        <w:gridCol w:w="180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54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  <w:tc>
          <w:tcPr>
            <w:tcW w:w="15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поисковых систем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7040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55056р.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52586р.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3050000р.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с сайтов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64286р.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900000р.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рекламы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2310000р.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7820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57671р.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8420000р.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AED581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Рассылки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social-канал уже дает заметную выручку. Увеличивать бюджет стоит только по аудиториям, где покупки подтверждены ecommerce-данными.</w:t>
      </w:r>
    </w:p>
    <w:p>
      <w:r>
        <w:br w:type="page"/>
      </w:r>
    </w:p>
    <w:p>
      <w:pPr>
        <w:pStyle w:val="Heading2"/>
      </w:pPr>
      <w:bookmarkStart w:id="19" w:name="_Toc19"/>
      <w:r>
        <w:t>Популярные категории товаров</w:t>
      </w:r>
      <w:bookmarkEnd w:id="1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таблице видно, какие категории лучше всего продаются после переходов из социальных сетей. Эти категории стоит использовать в креативах и аудиториях как основу для масштабирования.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93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Диваны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154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Кровати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104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Матрасы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Шкафы-купе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Столы и стулья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Комоды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10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4203"/>
        <w:gridCol w:w="2175"/>
        <w:gridCol w:w="1200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2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Категория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9240000р.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Кровати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6760000р.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2730000р.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Шкафы-купе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3640000р.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Столы и стулья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1890000р.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Комоды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 креативах чаще использовать диваны и кровати как самые сильные категории, а по шкафам-купе отдельно протестировать оффер замера и доставки.</w:t>
      </w:r>
    </w:p>
    <w:p>
      <w:r>
        <w:br w:type="page"/>
      </w:r>
    </w:p>
    <w:p>
      <w:pPr>
        <w:pStyle w:val="Heading2"/>
      </w:pPr>
      <w:bookmarkStart w:id="20" w:name="_Toc20"/>
      <w:r>
        <w:t>Популярные товары</w:t>
      </w:r>
      <w:bookmarkEnd w:id="2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Товары в этом списке чаще всего покупали после переходов из социальных сетей. Их стоит использовать в баннерах, видео и каруселях как проверенные позиции.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01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Угловой диван Nord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Кровать Oslo 160x200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43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+19%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Матрас Balance 160x200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Шкаф-купе Loft 180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Диван-кровать Milan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+15%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Обеденный стол Verona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245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5403"/>
        <w:gridCol w:w="2175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54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Категория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Nord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3240000р.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Oslo 160x200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2795000р.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Balance 160x200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1330000р.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Шкаф-купе Loft 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2240000р.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Диван-кровать Milan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1650000р.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Verona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1170000р.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добавить в объявления больше конкретных моделей из топа продаж и заранее проверять наличие этих товаров перед увеличением бюджета.</w:t>
      </w:r>
    </w:p>
    <w:p>
      <w:r>
        <w:br w:type="page"/>
      </w:r>
    </w:p>
    <w:p>
      <w:pPr>
        <w:pStyle w:val="Heading2"/>
      </w:pPr>
      <w:bookmarkStart w:id="21" w:name="_Toc21"/>
      <w:r>
        <w:t>Проделанная работа</w:t>
      </w:r>
      <w:bookmarkEnd w:id="21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Работы сгруппированы по направлениям, которые влияли на аудитории, креативы, стоимость заявки и продажи из таргетированной рекламы.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месяце работы были направлены на рост заявок из социальных сетей и повышение качества рекламного трафика.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VK Ads: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обновили кампании по ремаркетингу, похожим аудиториям покупателей и интересам «ремонт», «интерьер», «мебель для дома».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Facebook Реклама: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протестировали визуальные креативы по спальням, диванам и готовым интерьерным комплектам.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Креативы: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заменили объявления с низким CTR, добавили акценты на доставке, рассрочке, наличии и подборе мебели.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Аудитории: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отдельно выделили посетителей карточек товаров, пользователей с брошенной корзиной и покупателей похожих категорий.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Аналитика: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сверили цели, заявки, звонки и покупки по VK Ads и Facebook, чтобы оценивать не только клики, но и стоимость обращения.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результат: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таргет стал приводить больше заявок и продаж, а слабые аудитории стали заметны для оптимизации бюджета.</w:t>
      </w:r>
    </w:p>
    <w:p>
      <w:r>
        <w:br w:type="page"/>
      </w:r>
    </w:p>
    <w:p>
      <w:pPr>
        <w:pStyle w:val="Heading2"/>
      </w:pPr>
      <w:bookmarkStart w:id="22" w:name="_Toc22"/>
      <w:r>
        <w:t>Планируемая работа</w:t>
      </w:r>
      <w:bookmarkEnd w:id="22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План на следующий период направлен на рост заявок из VK Ads и Facebook без неконтролируемого увеличения бюджета.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следующем месяце фокус будет на усилении кампаний, которые дают заявки по приемлемой цене, и снижении расхода на слабые креативы.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Масштабировать ремаркетинг: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отдельно запустить аудитории посетителей диванов, кроватей, матрасов и пользователей с брошенной корзиной.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Обновить креативы: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протестировать новые баннеры с реальными товарами, ценовыми офферами, рассрочкой и быстрой доставкой.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Разделить аудитории: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не смешивать холодные интересы, look-alike и теплые сегменты, чтобы точнее видеть цену заявки.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Проверить посадочные: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доработать мобильный первый экран, фильтры, наличие товаров и заметность кнопок заказа.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Оптимизировать бюджет: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отключать объявления с высокой ценой обращения и переносить бюджет в кампании с подтвержденными продажами.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Ожидаемый эффект: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больше заявок из VK Ads и Facebook при более управляемой стоимости обращения.</w:t>
      </w:r>
    </w:p>
    <w:sectPr>
      <w:headerReference w:type="default" r:id="rId110"/>
      <w:pgSz w:w="11906" w:h="16838"/>
      <w:pgMar w:top="0" w:right="964" w:bottom="1134" w:left="964" w:header="250" w:footer="720" w:gutter="0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embedRegular r:id="rId1" w:fontKey="{9bfe0194-2587-421d-a78b-0a51363c4962}"/>
    <w:embedBold r:id="rId2" w:fontKey="{c7d26afb-9241-4205-ac30-6c7c2a3b5851}"/>
    <w:embedItalic r:id="rId3" w:fontKey="{adc12465-2f4e-457d-97b5-5a5d46ef7e06}"/>
    <w:embedBoldItalic r:id="rId4" w:fontKey="{3d10faaa-0466-42c1-ba02-a1c4804f5c4f}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fldChar w:fldCharType="begin"/>
    </w:r>
    <w:r>
      <w:rPr/>
      <w:instrText xml:space="preserve">PAGE</w:instrText>
    </w:r>
    <w:r>
      <w:fldChar w:fldCharType="separate"/>
    </w:r>
    <w:r>
      <w:fldChar w:fldCharType="end"/>
    </w:r>
  </w:p>
</w:ft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500"/>
      <w:gridCol w:w="5478"/>
    </w:tblGrid>
    <w:tr>
      <w:trPr/>
      <w:tc>
        <w:tcPr>
          <w:tcW w:w="4500" w:type="dxa"/>
          <w:noWrap/>
        </w:tcPr>
        <w:p>
          <w:pPr>
            <w:spacing w:after="230"/>
          </w:pPr>
          <w:r>
            <w:pict>
              <v:shape type="#_x0000_t75" stroked="f" style="width:210pt; height:56.25pt; margin-left:0pt; margin-top:0pt; mso-position-horizontal:left; mso-position-vertical:top; mso-position-horizontal-relative:char; mso-position-vertical-relative:line;">
                <v:imagedata r:id="rId1" o:title=""/>
              </v:shape>
            </w:pict>
          </w:r>
        </w:p>
      </w:tc>
      <w:tc>
        <w:tcPr>
          <w:tcW w:w="5478" w:type="dxa"/>
          <w:noWrap/>
        </w:tcPr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Агентство "ДемоТоп"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г. Москва, ул. Новолесная, д. 8, офис 42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agency@demotop.com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+7 495 000-00-00</w:t>
          </w:r>
        </w:p>
      </w:tc>
    </w:tr>
    <w:tr>
      <w:trPr/>
      <w:tc>
        <w:tcPr>
          <w:vAlign w:val="center"/>
          <w:gridSpan w:val="2"/>
          <w:noWrap/>
        </w:tcPr>
        <w:tbl>
          <w:tblPr>
            <w:tblW w:w="0" w:type="auto"/>
            <w:tblInd w:w="10" w:type="dxa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30"/>
            <w:gridCol w:w="9348"/>
          </w:tblGrid>
          <w:tr>
            <w:trPr/>
            <w:tc>
              <w:tcPr>
                <w:tcW w:w="630" w:type="dxa"/>
                <w:vAlign w:val="center"/>
                <w:noWrap/>
              </w:tcPr>
              <w:p>
                <w:pPr/>
                <w:r>
                  <w:pict>
                    <v:shape type="#_x0000_t75" stroked="f" style="width:19.5pt; height:18.75pt; margin-left:0pt; margin-top:5pt; position:absolute; mso-position-horizontal:left; mso-position-vertical:absolute; mso-position-horizontal-relative:char; mso-position-vertical-relative:line; z-index:2147483647;">
                      <v:imagedata r:id="rId2" o:title=""/>
                    </v:shape>
                  </w:pict>
                </w:r>
                <w:r>
                  <w:pict>
                    <v:shape type="#_x0000_t75" stroked="f" style="width:750pt; height:30pt; margin-left:-200pt; margin-top:0pt; position:absolute; mso-position-horizontal:absolute; mso-position-vertical:top; mso-position-horizontal-relative:left-margin-area; mso-position-vertical-relative:line; z-index:-2147483647;">
                      <v:imagedata r:id="rId3" o:title=""/>
                    </v:shape>
                  </w:pict>
                </w:r>
              </w:p>
            </w:tc>
            <w:tc>
              <w:tcPr>
                <w:tcW w:w="9348" w:type="dxa"/>
                <w:vAlign w:val="center"/>
                <w:noWrap/>
              </w:tcPr>
              <w:p>
                <w:pPr>
                  <w:spacing w:before="165" w:after="145"/>
                </w:pP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Отчетный период с 01.09.2026 – 30.09.2026</w:t>
                </w: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 в сравнении c 01.08.2026 – 31.08.2026</w:t>
                </w:r>
              </w:p>
            </w:tc>
          </w:tr>
        </w:tbl>
        <w:p/>
      </w:tc>
    </w:tr>
  </w:tbl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FE43297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1">
    <w:nsid w:val="13AB6C70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2">
    <w:nsid w:val="D88D9B4E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  <w:embedTrueTypeFon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Heading2">
    <w:link w:val="Heading2Char"/>
    <w:name w:val="heading 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Heading3">
    <w:link w:val="Heading3Char"/>
    <w:name w:val="heading 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1">
    <w:name w:val="title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title2">
    <w:name w:val="title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title3">
    <w:name w:val="title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4">
    <w:name w:val="title4"/>
    <w:basedOn w:val="Normal"/>
    <w:pPr>
      <w:spacing w:before="0" w:after="0"/>
    </w:pPr>
    <w:rPr>
      <w:rFonts w:ascii="Tahoma" w:hAnsi="Tahoma" w:eastAsia="Tahoma" w:cs="Tahoma"/>
      <w:color w:val="#616161"/>
      <w:sz w:val="24"/>
      <w:szCs w:val="24"/>
    </w:rPr>
  </w:style>
  <w:style w:type="paragraph" w:styleId="pieGraphTitle">
    <w:name w:val="pieGraphTitle"/>
    <w:basedOn w:val="Normal"/>
    <w:pPr>
      <w:spacing w:before="120" w:after="100" w:line="240" w:lineRule="auto"/>
    </w:pPr>
    <w:rPr>
      <w:rFonts w:ascii="Tahoma" w:hAnsi="Tahoma" w:eastAsia="Tahoma" w:cs="Tahoma"/>
      <w:color w:val="#757575"/>
      <w:sz w:val="16"/>
      <w:szCs w:val="16"/>
    </w:rPr>
  </w:style>
  <w:style w:type="paragraph" w:styleId="pieGraphValue">
    <w:name w:val="pieGraphValue"/>
    <w:basedOn w:val="Normal"/>
    <w:pPr>
      <w:spacing w:before="180" w:after="100"/>
    </w:pPr>
    <w:rPr>
      <w:rFonts w:ascii="Tahoma" w:hAnsi="Tahoma" w:eastAsia="Tahoma" w:cs="Tahoma"/>
      <w:color w:val="#757575"/>
      <w:sz w:val="20"/>
      <w:szCs w:val="2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pn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png"/><Relationship Id="rId38" Type="http://schemas.openxmlformats.org/officeDocument/2006/relationships/hyperlink" Target="https://mebel-market.com/divany/" TargetMode="External"/><Relationship Id="rId39" Type="http://schemas.openxmlformats.org/officeDocument/2006/relationships/hyperlink" Target="https://mebel-market.com/krovati/" TargetMode="External"/><Relationship Id="rId40" Type="http://schemas.openxmlformats.org/officeDocument/2006/relationships/hyperlink" Target="https://mebel-market.com/spalnya/komplekty/" TargetMode="External"/><Relationship Id="rId41" Type="http://schemas.openxmlformats.org/officeDocument/2006/relationships/hyperlink" Target="https://mebel-market.com/matrasy/160x200/" TargetMode="External"/><Relationship Id="rId42" Type="http://schemas.openxmlformats.org/officeDocument/2006/relationships/hyperlink" Target="https://mebel-market.com/divany/uglovye/" TargetMode="External"/><Relationship Id="rId43" Type="http://schemas.openxmlformats.org/officeDocument/2006/relationships/hyperlink" Target="https://mebel-market.com/shkafy-kupe/" TargetMode="External"/><Relationship Id="rId44" Type="http://schemas.openxmlformats.org/officeDocument/2006/relationships/hyperlink" Target="https://mebel-market.com/krovati/podemnyy-mehanizm/" TargetMode="External"/><Relationship Id="rId45" Type="http://schemas.openxmlformats.org/officeDocument/2006/relationships/hyperlink" Target="https://mebel-market.com/gostinye/modulnye/" TargetMode="External"/><Relationship Id="rId46" Type="http://schemas.openxmlformats.org/officeDocument/2006/relationships/hyperlink" Target="https://mebel-market.com/akcii/" TargetMode="External"/><Relationship Id="rId47" Type="http://schemas.openxmlformats.org/officeDocument/2006/relationships/hyperlink" Target="https://mebel-market.com/dostavka/" TargetMode="External"/><Relationship Id="rId48" Type="http://schemas.openxmlformats.org/officeDocument/2006/relationships/image" Target="media/section_image32.png"/><Relationship Id="rId49" Type="http://schemas.openxmlformats.org/officeDocument/2006/relationships/image" Target="media/section_image33.png"/><Relationship Id="rId50" Type="http://schemas.openxmlformats.org/officeDocument/2006/relationships/image" Target="media/section_image34.png"/><Relationship Id="rId51" Type="http://schemas.openxmlformats.org/officeDocument/2006/relationships/image" Target="media/section_image35.png"/><Relationship Id="rId52" Type="http://schemas.openxmlformats.org/officeDocument/2006/relationships/image" Target="media/section_image36.png"/><Relationship Id="rId53" Type="http://schemas.openxmlformats.org/officeDocument/2006/relationships/image" Target="media/section_image37.png"/><Relationship Id="rId54" Type="http://schemas.openxmlformats.org/officeDocument/2006/relationships/image" Target="media/section_image38.png"/><Relationship Id="rId55" Type="http://schemas.openxmlformats.org/officeDocument/2006/relationships/image" Target="media/section_image39.png"/><Relationship Id="rId56" Type="http://schemas.openxmlformats.org/officeDocument/2006/relationships/image" Target="media/section_image40.png"/><Relationship Id="rId57" Type="http://schemas.openxmlformats.org/officeDocument/2006/relationships/image" Target="media/section_image41.png"/><Relationship Id="rId58" Type="http://schemas.openxmlformats.org/officeDocument/2006/relationships/image" Target="media/section_image42.png"/><Relationship Id="rId59" Type="http://schemas.openxmlformats.org/officeDocument/2006/relationships/image" Target="media/section_image43.png"/><Relationship Id="rId60" Type="http://schemas.openxmlformats.org/officeDocument/2006/relationships/image" Target="media/section_image44.png"/><Relationship Id="rId61" Type="http://schemas.openxmlformats.org/officeDocument/2006/relationships/image" Target="media/section_image45.png"/><Relationship Id="rId62" Type="http://schemas.openxmlformats.org/officeDocument/2006/relationships/image" Target="media/section_image46.png"/><Relationship Id="rId63" Type="http://schemas.openxmlformats.org/officeDocument/2006/relationships/image" Target="media/section_image47.png"/><Relationship Id="rId64" Type="http://schemas.openxmlformats.org/officeDocument/2006/relationships/image" Target="media/section_image48.png"/><Relationship Id="rId65" Type="http://schemas.openxmlformats.org/officeDocument/2006/relationships/image" Target="media/section_image49.png"/><Relationship Id="rId66" Type="http://schemas.openxmlformats.org/officeDocument/2006/relationships/image" Target="media/section_image50.png"/><Relationship Id="rId67" Type="http://schemas.openxmlformats.org/officeDocument/2006/relationships/image" Target="media/section_image51.png"/><Relationship Id="rId68" Type="http://schemas.openxmlformats.org/officeDocument/2006/relationships/image" Target="media/section_image52.png"/><Relationship Id="rId69" Type="http://schemas.openxmlformats.org/officeDocument/2006/relationships/image" Target="media/section_image53.png"/><Relationship Id="rId70" Type="http://schemas.openxmlformats.org/officeDocument/2006/relationships/image" Target="media/section_image54.png"/><Relationship Id="rId71" Type="http://schemas.openxmlformats.org/officeDocument/2006/relationships/image" Target="media/section_image55.png"/><Relationship Id="rId72" Type="http://schemas.openxmlformats.org/officeDocument/2006/relationships/image" Target="media/section_image56.png"/><Relationship Id="rId73" Type="http://schemas.openxmlformats.org/officeDocument/2006/relationships/image" Target="media/section_image57.png"/><Relationship Id="rId74" Type="http://schemas.openxmlformats.org/officeDocument/2006/relationships/image" Target="media/section_image58.png"/><Relationship Id="rId75" Type="http://schemas.openxmlformats.org/officeDocument/2006/relationships/image" Target="media/section_image59.png"/><Relationship Id="rId76" Type="http://schemas.openxmlformats.org/officeDocument/2006/relationships/image" Target="media/section_image60.png"/><Relationship Id="rId77" Type="http://schemas.openxmlformats.org/officeDocument/2006/relationships/image" Target="media/section_image61.png"/><Relationship Id="rId78" Type="http://schemas.openxmlformats.org/officeDocument/2006/relationships/image" Target="media/section_image62.png"/><Relationship Id="rId79" Type="http://schemas.openxmlformats.org/officeDocument/2006/relationships/image" Target="media/section_image63.png"/><Relationship Id="rId80" Type="http://schemas.openxmlformats.org/officeDocument/2006/relationships/image" Target="media/section_image64.png"/><Relationship Id="rId81" Type="http://schemas.openxmlformats.org/officeDocument/2006/relationships/image" Target="media/section_image65.png"/><Relationship Id="rId82" Type="http://schemas.openxmlformats.org/officeDocument/2006/relationships/image" Target="media/section_image66.png"/><Relationship Id="rId83" Type="http://schemas.openxmlformats.org/officeDocument/2006/relationships/image" Target="media/section_image67.png"/><Relationship Id="rId84" Type="http://schemas.openxmlformats.org/officeDocument/2006/relationships/image" Target="media/section_image68.png"/><Relationship Id="rId85" Type="http://schemas.openxmlformats.org/officeDocument/2006/relationships/image" Target="media/section_image69.png"/><Relationship Id="rId86" Type="http://schemas.openxmlformats.org/officeDocument/2006/relationships/image" Target="media/section_image70.png"/><Relationship Id="rId87" Type="http://schemas.openxmlformats.org/officeDocument/2006/relationships/image" Target="media/section_image71.png"/><Relationship Id="rId88" Type="http://schemas.openxmlformats.org/officeDocument/2006/relationships/image" Target="media/section_image72.png"/><Relationship Id="rId89" Type="http://schemas.openxmlformats.org/officeDocument/2006/relationships/image" Target="media/section_image73.png"/><Relationship Id="rId90" Type="http://schemas.openxmlformats.org/officeDocument/2006/relationships/image" Target="media/section_image74.png"/><Relationship Id="rId91" Type="http://schemas.openxmlformats.org/officeDocument/2006/relationships/image" Target="media/section_image75.png"/><Relationship Id="rId92" Type="http://schemas.openxmlformats.org/officeDocument/2006/relationships/image" Target="media/section_image76.png"/><Relationship Id="rId93" Type="http://schemas.openxmlformats.org/officeDocument/2006/relationships/image" Target="media/section_image77.png"/><Relationship Id="rId94" Type="http://schemas.openxmlformats.org/officeDocument/2006/relationships/image" Target="media/section_image78.png"/><Relationship Id="rId95" Type="http://schemas.openxmlformats.org/officeDocument/2006/relationships/image" Target="media/section_image79.png"/><Relationship Id="rId96" Type="http://schemas.openxmlformats.org/officeDocument/2006/relationships/image" Target="media/section_image80.png"/><Relationship Id="rId97" Type="http://schemas.openxmlformats.org/officeDocument/2006/relationships/image" Target="media/section_image81.png"/><Relationship Id="rId98" Type="http://schemas.openxmlformats.org/officeDocument/2006/relationships/image" Target="media/section_image82.png"/><Relationship Id="rId99" Type="http://schemas.openxmlformats.org/officeDocument/2006/relationships/image" Target="media/section_image83.png"/><Relationship Id="rId100" Type="http://schemas.openxmlformats.org/officeDocument/2006/relationships/image" Target="media/section_image84.png"/><Relationship Id="rId101" Type="http://schemas.openxmlformats.org/officeDocument/2006/relationships/image" Target="media/section_image85.png"/><Relationship Id="rId102" Type="http://schemas.openxmlformats.org/officeDocument/2006/relationships/image" Target="media/section_image86.png"/><Relationship Id="rId103" Type="http://schemas.openxmlformats.org/officeDocument/2006/relationships/image" Target="media/section_image87.png"/><Relationship Id="rId104" Type="http://schemas.openxmlformats.org/officeDocument/2006/relationships/image" Target="media/section_image88.png"/><Relationship Id="rId105" Type="http://schemas.openxmlformats.org/officeDocument/2006/relationships/image" Target="media/section_image89.png"/><Relationship Id="rId106" Type="http://schemas.openxmlformats.org/officeDocument/2006/relationships/image" Target="media/section_image90.png"/><Relationship Id="rId107" Type="http://schemas.openxmlformats.org/officeDocument/2006/relationships/image" Target="media/section_image91.png"/><Relationship Id="rId108" Type="http://schemas.openxmlformats.org/officeDocument/2006/relationships/image" Target="media/section_image92.png"/><Relationship Id="rId109" Type="http://schemas.openxmlformats.org/officeDocument/2006/relationships/footer" Target="footer4.xml"/><Relationship Id="rId110" Type="http://schemas.openxmlformats.org/officeDocument/2006/relationships/header" Target="header7.xml"/></Relationships>
</file>

<file path=word/_rels/fontTable.xml.rels><?xml version="1.0" encoding="UTF-8" standalone="yes"?>
<Relationships xmlns="http://schemas.openxmlformats.org/package/2006/relationships">
  <Relationship TargetMode="Internal" Id="rId1" Type="http://schemas.openxmlformats.org/officeDocument/2006/relationships/font" Target="fonts/9bfe0194-2587-421d-a78b-0a51363c4962.odttf"/>
  <Relationship TargetMode="Internal" Id="rId2" Type="http://schemas.openxmlformats.org/officeDocument/2006/relationships/font" Target="fonts/c7d26afb-9241-4205-ac30-6c7c2a3b5851.odttf"/>
  <Relationship TargetMode="Internal" Id="rId3" Type="http://schemas.openxmlformats.org/officeDocument/2006/relationships/font" Target="fonts/adc12465-2f4e-457d-97b5-5a5d46ef7e06.odttf"/>
  <Relationship TargetMode="Internal" Id="rId4" Type="http://schemas.openxmlformats.org/officeDocument/2006/relationships/font" Target="fonts/3d10faaa-0466-42c1-ba02-a1c4804f5c4f.odttf"/>
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header7_image1.png"/><Relationship Id="rId2" Type="http://schemas.openxmlformats.org/officeDocument/2006/relationships/image" Target="media/header7_image2.png"/><Relationship Id="rId3" Type="http://schemas.openxmlformats.org/officeDocument/2006/relationships/image" Target="media/header7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2026-10-01T04:45:40+03:00</dcterms:created>
  <dcterms:modified xsi:type="dcterms:W3CDTF">2026-10-01T04:45:40+03:00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